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一、選課重點：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1.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本科生學分下限為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9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學分，上限為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25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學分。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2.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研究生、博士生學分下限為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2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學分，上限為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10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學分。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3.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請學生與貴校系上老師或教務處討論能互抵學分之課程。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4.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因兩校課程規劃不同，學生在本校選課時，可跨院、跨系、跨年級，若加選課程，要求先修課程，請務必提供歷年成績單，於開學至系上報到時提出已修過類似課程之證明。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5.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若學生對於非本科專業的課程有興趣，可以考慮選修，但不建議選進階課程。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6.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學生必須完成整學期的課程，否則不給予成績及學習證明。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二、課程時間（預定）：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222222"/>
          <w:kern w:val="0"/>
          <w:sz w:val="24"/>
          <w:szCs w:val="24"/>
        </w:rPr>
      </w:pPr>
      <w:r>
        <w:rPr>
          <w:rFonts w:ascii="Calibri" w:eastAsia="PMingLiU" w:hAnsi="Calibri" w:cs="Calibri"/>
          <w:color w:val="222222"/>
          <w:kern w:val="0"/>
          <w:sz w:val="24"/>
          <w:szCs w:val="24"/>
        </w:rPr>
        <w:t xml:space="preserve">2017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秋季班</w:t>
      </w:r>
      <w:r w:rsidR="00891318">
        <w:rPr>
          <w:rFonts w:ascii="PMingLiU" w:cs="PMingLiU" w:hint="eastAsia"/>
          <w:color w:val="222222"/>
          <w:kern w:val="0"/>
          <w:sz w:val="24"/>
          <w:szCs w:val="24"/>
        </w:rPr>
        <w:t>：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學期開始</w:t>
      </w:r>
      <w:r>
        <w:rPr>
          <w:rFonts w:ascii="PMingLiU" w:eastAsia="PMingLiU" w:cs="PMingLiU"/>
          <w:color w:val="222222"/>
          <w:kern w:val="0"/>
          <w:sz w:val="24"/>
          <w:szCs w:val="24"/>
        </w:rPr>
        <w:t xml:space="preserve"> 2017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年</w:t>
      </w:r>
      <w:r>
        <w:rPr>
          <w:rFonts w:ascii="PMingLiU" w:eastAsia="PMingLiU" w:cs="PMingLiU"/>
          <w:color w:val="222222"/>
          <w:kern w:val="0"/>
          <w:sz w:val="24"/>
          <w:szCs w:val="24"/>
        </w:rPr>
        <w:t xml:space="preserve">9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月</w:t>
      </w:r>
      <w:r>
        <w:rPr>
          <w:rFonts w:ascii="PMingLiU" w:eastAsia="PMingLiU" w:cs="PMingLiU"/>
          <w:color w:val="222222"/>
          <w:kern w:val="0"/>
          <w:sz w:val="24"/>
          <w:szCs w:val="24"/>
        </w:rPr>
        <w:t xml:space="preserve">11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日</w:t>
      </w:r>
      <w:r w:rsidR="00DD3C1D">
        <w:rPr>
          <w:rFonts w:ascii="PMingLiU" w:cs="PMingLiU" w:hint="eastAsia"/>
          <w:color w:val="222222"/>
          <w:kern w:val="0"/>
          <w:sz w:val="24"/>
          <w:szCs w:val="24"/>
        </w:rPr>
        <w:t>，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學期結束</w:t>
      </w:r>
      <w:r>
        <w:rPr>
          <w:rFonts w:ascii="PMingLiU" w:eastAsia="PMingLiU" w:cs="PMingLiU"/>
          <w:color w:val="222222"/>
          <w:kern w:val="0"/>
          <w:sz w:val="24"/>
          <w:szCs w:val="24"/>
        </w:rPr>
        <w:t xml:space="preserve"> 2018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年</w:t>
      </w:r>
      <w:r>
        <w:rPr>
          <w:rFonts w:ascii="PMingLiU" w:eastAsia="PMingLiU" w:cs="PMingLiU"/>
          <w:color w:val="222222"/>
          <w:kern w:val="0"/>
          <w:sz w:val="24"/>
          <w:szCs w:val="24"/>
        </w:rPr>
        <w:t xml:space="preserve">1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月</w:t>
      </w:r>
      <w:r>
        <w:rPr>
          <w:rFonts w:ascii="PMingLiU" w:eastAsia="PMingLiU" w:cs="PMingLiU"/>
          <w:color w:val="222222"/>
          <w:kern w:val="0"/>
          <w:sz w:val="24"/>
          <w:szCs w:val="24"/>
        </w:rPr>
        <w:t xml:space="preserve">12 </w:t>
      </w: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日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222222"/>
          <w:kern w:val="0"/>
          <w:sz w:val="24"/>
          <w:szCs w:val="24"/>
        </w:rPr>
      </w:pPr>
      <w:r>
        <w:rPr>
          <w:rFonts w:ascii="PMingLiU" w:eastAsia="PMingLiU" w:cs="PMingLiU" w:hint="eastAsia"/>
          <w:color w:val="222222"/>
          <w:kern w:val="0"/>
          <w:sz w:val="24"/>
          <w:szCs w:val="24"/>
        </w:rPr>
        <w:t>班機往返日期，請務必按照邀請函、行程表日期訂機票。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三、健康檢查：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學校將統一辦理健康檢查，檢查項目包含麻疹、德國麻疹疫苗注射及結核病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(X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光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)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檢疫，費用由學生自行負擔。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(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依據台灣主管機關規定，來台師生須符合短期研修健康檢查項目並於兩週內提供檢查報告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)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四、保險：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境外生需依規定強制加保意外險，保費將列在學費單，醫療險依學生需要加保。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五、住宿：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1.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宿舍嚴禁抽菸，如經查獲，立即退宿，結束本學期交流並返回大陸原學校。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2.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學生需依本校住宿規定，不能更換宿舍，亦不可任意更換寢室，一經查獲，立即退宿，結束本學期交流並返回大陸原學校。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lastRenderedPageBreak/>
        <w:t xml:space="preserve">3.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寢具組為個人衛生用品，來校後請自行購買，接機期間，寢具組廠商進駐校園以便利同學們選購，床墊、枕頭、被子，三件組合價約為新台幣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1000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元。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六、相關規定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>(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一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)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台灣法令：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1.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大陸地區學生在台就學期間，不得從事專職或兼職之工作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(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打工行為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)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。違反規定者，應依規定辦理強制出境。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2.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公共室內區域除吸煙區外一律禁煙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(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學校、交通工具、飯店及餐廳等公共場所幾乎是全面禁煙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>)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，文化大學禁菸場所規定，包括室內場所、室內三人以上場所及大眾運輸工具內全面禁止吸菸，若第一次違反者將處以罰鍰２千至１萬元，並告知家長及大陸學校、第二次違反者依文化大學學生宿舍管理規則第七條規定勒令退宿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3.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行人穿越道路請走斑馬線，一般使用器物或電梯或參觀皆需排隊進入。違反前者，將可能被處以罰款及參加交通安全講席。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4.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未成年請勿飲酒、抽煙。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5.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無台灣駕照不得騎乘機車及駕駛汽車。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6.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捷運內不可飲食及嚼口香糖，否則將依法罰款。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7.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請依邀請函日期入出台灣，不可提前或延後。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>(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二</w:t>
      </w: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)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文大校規：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1.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學生經監考人員確認作弊並違反考試規定，該科目以零分計算。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2.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學生交流期間不可返回大陸，如須返回者，須經原學校同意，但該學期不得再次申請入台。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3.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學生未經請假或請假未經核准而未上課者，以曠課論，曠課一小時，以缺課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lastRenderedPageBreak/>
        <w:t>兩小時計。請假請至學生專區填寫假單，並口頭向任課老師報備，否則以曠課論。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4.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學生同意校方網路流量統計分析應用。</w:t>
      </w:r>
    </w:p>
    <w:p w:rsidR="00EA648D" w:rsidRDefault="00EA648D" w:rsidP="00EA648D">
      <w:pPr>
        <w:autoSpaceDE w:val="0"/>
        <w:autoSpaceDN w:val="0"/>
        <w:adjustRightInd w:val="0"/>
        <w:jc w:val="left"/>
        <w:rPr>
          <w:rFonts w:ascii="PMingLiU" w:eastAsia="PMingLiU" w:cs="PMingLiU"/>
          <w:color w:val="000000"/>
          <w:kern w:val="0"/>
          <w:sz w:val="24"/>
          <w:szCs w:val="24"/>
        </w:rPr>
      </w:pPr>
      <w:r>
        <w:rPr>
          <w:rFonts w:ascii="PMingLiU" w:eastAsia="PMingLiU" w:cs="PMingLiU"/>
          <w:color w:val="000000"/>
          <w:kern w:val="0"/>
          <w:sz w:val="24"/>
          <w:szCs w:val="24"/>
        </w:rPr>
        <w:t xml:space="preserve">5. </w:t>
      </w:r>
      <w:r>
        <w:rPr>
          <w:rFonts w:ascii="PMingLiU" w:eastAsia="PMingLiU" w:cs="PMingLiU" w:hint="eastAsia"/>
          <w:color w:val="000000"/>
          <w:kern w:val="0"/>
          <w:sz w:val="24"/>
          <w:szCs w:val="24"/>
        </w:rPr>
        <w:t>不違反原就讀學校校規、法律及善良風俗。在校期間勿參加政治活動，禁止參與非合法成立之社團組織。</w:t>
      </w:r>
    </w:p>
    <w:p w:rsidR="00641489" w:rsidRDefault="00641489" w:rsidP="00EA648D"/>
    <w:sectPr w:rsidR="00641489" w:rsidSect="005E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52A" w:rsidRDefault="0098652A" w:rsidP="00EA648D">
      <w:r>
        <w:separator/>
      </w:r>
    </w:p>
  </w:endnote>
  <w:endnote w:type="continuationSeparator" w:id="1">
    <w:p w:rsidR="0098652A" w:rsidRDefault="0098652A" w:rsidP="00EA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52A" w:rsidRDefault="0098652A" w:rsidP="00EA648D">
      <w:r>
        <w:separator/>
      </w:r>
    </w:p>
  </w:footnote>
  <w:footnote w:type="continuationSeparator" w:id="1">
    <w:p w:rsidR="0098652A" w:rsidRDefault="0098652A" w:rsidP="00EA6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48D"/>
    <w:rsid w:val="004C3CF5"/>
    <w:rsid w:val="005E0853"/>
    <w:rsid w:val="00641489"/>
    <w:rsid w:val="00891318"/>
    <w:rsid w:val="0098652A"/>
    <w:rsid w:val="00DD3C1D"/>
    <w:rsid w:val="00EA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2017-03-07T08:13:00Z</dcterms:created>
  <dcterms:modified xsi:type="dcterms:W3CDTF">2017-03-07T08:15:00Z</dcterms:modified>
</cp:coreProperties>
</file>